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493715290" name="Picture">
</wp:docPr>
                  <a:graphic>
                    <a:graphicData uri="http://schemas.openxmlformats.org/drawingml/2006/picture">
                      <pic:pic>
                        <pic:nvPicPr>
                          <pic:cNvPr id="1493715290"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610.23.00321 Аренда автотранспортных средств для нужд Нижневартовского обособленного подразделения ООО «Интер РАО-Инжиниринг»</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504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Качество продукции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Временные параметры оказания услуги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Техническая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Соответствие объема и качества предлагаемых к оказанию услуг требованиям ТЗ</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Техническая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Стоимость корзины товаров (cравнение с максимальной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4.2.1</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4.2.2</w:t>
                        </w:r>
                      </w:p>
                    </w:tc>
                  </w:tr>
                </w:tbl>
                <w:p>
                  <w:pPr>
                    <w:pStyle w:val="EMPTY_CELL_STYLE"/>
                  </w:pPr>
                </w:p>
              </w:tc>
            </w:tr>
          </w:tbl>
          <w:p>
            <w:pPr>
              <w:pStyle w:val="EMPTY_CELL_STYLE"/>
            </w:pP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c>
          <w:tcPr>
     </w:tcPr>
          <w:p>
            <w:pPr>
              <w:pStyle w:val="EMPTY_CELL_STYLE"/>
            </w:pPr>
          </w:p>
        </w:tc>
      </w:tr>
      <w:tr>
        <w:trPr>
          <w:trHeight w:hRule="exact" w:val="608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4.2.3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Финансово-экономическая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4.3.1</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4.4</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Приемлемость условий договора, предложенных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4.4.1</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4.4.2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4.4.2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Качество продукции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Качество продукции;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2.2</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4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80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«Стоимость корзины товаров (cравнение с максимальной единичной стоимостью корзины товаров (работы, услуги))» осуществляется в следующем порядке:</w:t>
                    <w:br/>
                    <w:t xml:space="preserve">первоначально проводится выбор шкалы оценок и максимальной стоимости корзины товаров (работ, услуг) базовой оценки: если хотя бы у одного участника Цена корзины товара (работы, услуги) (далее – ЦКТ) меньше максимальной (наивысшей) стоимости корзины товара (работы, услуги), предложенной каким-либо участником (далее – НАИВ), то шкала оценок от 1 до 5, базовая оценка - 2 балла (сценарий 1).</w:t>
                    <w:br/>
                    <w:t xml:space="preserve">Если все предложения участников не меньше максимальной (т.е. если все участники вышли с одинаковой стоимостью), то шкала оценок от 1 до 3, базовая оценка - 3 балла (сценарий 2)</w:t>
                    <w:br/>
                    <w:t xml:space="preserve">Сценарий 1: Шкала оценок от 1 до 5. Проводится сопоставление ЦКТ участника и  НАИВ:</w:t>
                    <w:br/>
                    <w:t xml:space="preserve">Если ЦКТ участника равна НАИВ, то такой Участник получает 2 балла.</w:t>
                    <w:br/>
                    <w:t xml:space="preserve">Проверяется, есть ли предложения участника меньше НАИВ на 30%:</w:t>
                    <w:br/>
                    <w:br/>
                    <w:t xml:space="preserve">ЕСЛИ((МИН(ДИАПАЗОН)/ НАИВ)&lt;0,7;</w:t>
                    <w:br/>
                    <w:br/>
                    <w:t xml:space="preserve">если минимальное предложение меньше НАИВ на 30%, то максимальному баллу 5 соответствует минимальное предложение:</w:t>
                    <w:br/>
                    <w:br/>
                    <w:t xml:space="preserve">ЕСЛИ(ЦКТ=МИН(ДИАПАЗОН) то 5;</w:t>
                    <w:br/>
                    <w:br/>
                    <w:t xml:space="preserve">иначе ((НАИВ -ЦЕТ)*3/( НАИВ -МИН(ДИАПАЗОН))+2));</w:t>
                    <w:br/>
                    <w:br/>
                    <w:t xml:space="preserve">если минимальное предложение не меньше НАИВ на 30%, то максимальному баллу 5 соответствует сумма НАИВ минус 30%. Выполняется расчёт оценки в диапазоне от 2 до 5:</w:t>
                    <w:br/>
                    <w:br/>
                    <w:t xml:space="preserve">((НАИВ -ЦКТ)/( НАИВ)*10)+2));</w:t>
                    <w:br/>
                    <w:br/>
                    <w:t xml:space="preserve">Сценарий 2: шкала оценок от 1 до 3. 3 балла получает Участник с ЦКТ, равной максимальной стоимости НАИВ.</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Присвоение баллов заявкам по критерию 4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сумма баллов (с учетом значимости) по подкритериям критерия 4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сумма баллов по соответствующим подкритериям критерия 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значимость каждого подкритерия критерия 4.</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62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4.4.1.  Присвоение баллов заявкам по критерию 4.1 Опыт оказания услуг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4.1</w:t>
                  </w:r>
                  <w:r>
                    <w:rPr>
                      <w:rFonts w:ascii="Times New Roman" w:hAnsi="Times New Roman" w:eastAsia="Times New Roman" w:cs="Times New Roman"/>
                      <w:color w:val="000000"/>
                      <w:sz w:val="24"/>
                    </w:rPr>
                    <w:t xml:space="preserve"> – сумма баллов (с учетом значимости) по подкритериям критерия 4.1 Опыт оказания услуг;</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 сумма баллов по соответствующим подкритериям критерия 4.1;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4.1.1</w:t>
                  </w:r>
                  <w:r>
                    <w:rPr>
                      <w:rFonts w:ascii="Times New Roman" w:hAnsi="Times New Roman" w:eastAsia="Times New Roman" w:cs="Times New Roman"/>
                      <w:color w:val="000000"/>
                      <w:sz w:val="24"/>
                    </w:rPr>
                    <w:t xml:space="preserve"> − значимость каждого подкритерия критерия 4.1.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4.4.2.  Присвоение баллов заявкам по критерию 4.2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w:t>
                  </w:r>
                  <w:r>
                    <w:rPr>
                      <w:rFonts w:ascii="Times New Roman" w:hAnsi="Times New Roman" w:eastAsia="Times New Roman" w:cs="Times New Roman"/>
                      <w:color w:val="000000"/>
                      <w:sz w:val="24"/>
                    </w:rPr>
                    <w:t xml:space="preserve"> – сумма баллов (с учетом значимости) по подкритериям критерия 4.2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4.2.3</w:t>
                  </w:r>
                  <w:r>
                    <w:rPr>
                      <w:rFonts w:ascii="Times New Roman" w:hAnsi="Times New Roman" w:eastAsia="Times New Roman" w:cs="Times New Roman"/>
                      <w:color w:val="000000"/>
                      <w:sz w:val="24"/>
                    </w:rPr>
                    <w:t xml:space="preserve"> − сумма баллов по соответствующим подкритериям критерия 4.2;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4.2.3</w:t>
                  </w:r>
                  <w:r>
                    <w:rPr>
                      <w:rFonts w:ascii="Times New Roman" w:hAnsi="Times New Roman" w:eastAsia="Times New Roman" w:cs="Times New Roman"/>
                      <w:color w:val="000000"/>
                      <w:sz w:val="24"/>
                    </w:rPr>
                    <w:t xml:space="preserve"> − значимость каждого подкритерия критерия 4.2.</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4.4.2.1.  Присвоение баллов заявкам по критерию 4.2.1 Добровольные системы подтверждения квалификации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4.2.1</w:t>
                  </w:r>
                  <w:r>
                    <w:rPr>
                      <w:rFonts w:ascii="Times New Roman" w:hAnsi="Times New Roman" w:eastAsia="Times New Roman" w:cs="Times New Roman"/>
                      <w:color w:val="000000"/>
                      <w:sz w:val="24"/>
                    </w:rPr>
                    <w:t xml:space="preserve"> – сумма баллов (с учетом значимости) по подкритериям критерия 4.2.1 Добровольные системы подтверждения квалификации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4.2.1.2</w:t>
                  </w:r>
                  <w:r>
                    <w:rPr>
                      <w:rFonts w:ascii="Times New Roman" w:hAnsi="Times New Roman" w:eastAsia="Times New Roman" w:cs="Times New Roman"/>
                      <w:color w:val="000000"/>
                      <w:sz w:val="24"/>
                    </w:rPr>
                    <w:t xml:space="preserve"> − сумма баллов по соответствующим подкритериям критерия 4.2.1;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4.2.1.2</w:t>
                  </w:r>
                  <w:r>
                    <w:rPr>
                      <w:rFonts w:ascii="Times New Roman" w:hAnsi="Times New Roman" w:eastAsia="Times New Roman" w:cs="Times New Roman"/>
                      <w:color w:val="000000"/>
                      <w:sz w:val="24"/>
                    </w:rPr>
                    <w:t xml:space="preserve"> − значимость каждого подкритерия критерия 4.2.1.</w:t>
                  </w:r>
                </w:p>
              </w:tc>
            </w:tr>
            <w:tr>
              <w:trPr>
                <w:trHeight w:hRule="atLeast" w:val="35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4.4.3.  Присвоение баллов заявкам по критерию 4.3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4.3</w:t>
                  </w:r>
                  <w:r>
                    <w:rPr>
                      <w:rFonts w:ascii="Times New Roman" w:hAnsi="Times New Roman" w:eastAsia="Times New Roman" w:cs="Times New Roman"/>
                      <w:color w:val="000000"/>
                      <w:sz w:val="24"/>
                    </w:rPr>
                    <w:t xml:space="preserve"> – сумма баллов (с учетом значимости) по подкритериям критерия 4.3 Экономические риски с учётом платёжеспособности и финансовой устойчивости;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сумма баллов по соответствующим подкритериям критерия 4.3;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4.3.1</w:t>
                  </w:r>
                  <w:r>
                    <w:rPr>
                      <w:rFonts w:ascii="Times New Roman" w:hAnsi="Times New Roman" w:eastAsia="Times New Roman" w:cs="Times New Roman"/>
                      <w:color w:val="000000"/>
                      <w:sz w:val="24"/>
                    </w:rPr>
                    <w:t xml:space="preserve"> − значимость каждого подкритерия критерия 4.3.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4.4.4.  Присвоение баллов заявкам по критерию 4.4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4.4</w:t>
                  </w:r>
                  <w:r>
                    <w:rPr>
                      <w:rFonts w:ascii="Times New Roman" w:hAnsi="Times New Roman" w:eastAsia="Times New Roman" w:cs="Times New Roman"/>
                      <w:color w:val="000000"/>
                      <w:sz w:val="24"/>
                    </w:rPr>
                    <w:t xml:space="preserve"> – сумма баллов (с учетом значимости) по подкритериям критерия 4.4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4.4.2</w:t>
                  </w:r>
                  <w:r>
                    <w:rPr>
                      <w:rFonts w:ascii="Times New Roman" w:hAnsi="Times New Roman" w:eastAsia="Times New Roman" w:cs="Times New Roman"/>
                      <w:color w:val="000000"/>
                      <w:sz w:val="24"/>
                    </w:rPr>
                    <w:t xml:space="preserve"> − сумма баллов по соответствующим подкритериям критерия 4.4;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4.4.2</w:t>
                  </w:r>
                  <w:r>
                    <w:rPr>
                      <w:rFonts w:ascii="Times New Roman" w:hAnsi="Times New Roman" w:eastAsia="Times New Roman" w:cs="Times New Roman"/>
                      <w:color w:val="000000"/>
                      <w:sz w:val="24"/>
                    </w:rPr>
                    <w:t xml:space="preserve"> − значимость каждого подкритерия критерия 4.4.</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51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514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по критерию Качество продукции</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Качество продукции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4</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610.23.00321</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2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6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Экономические риски с учётом платёжеспособности и финансовой устойчивости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соответствует требованиям Закупочной документации</w:t>
                          <w:br/>
                          <w:t xml:space="preserve">От 1 до 5 баллов  - Баллы выставляются в соотвествии с Методикой проведения экспертизы финансово-экономической устойчивости участников закупочных процедур</w:t>
                        </w: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4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610.23.00321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Стоимость корзины товаров (cравнение с максимальной стоимостью корзины товаров)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610.23.00321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610.23.00321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88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Соответствие объема и качества предлагаемых к оказанию услуг требованиям ТЗ</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представил (не подтвердил) объем и/или качество оказываемых им услуг, либо объем и/или качество оказываемых им услуг не соответствуют  минимальным требовниям Закупочной документации</w:t>
                          <w:br/>
                          <w:t xml:space="preserve">От 1 до 2 баллов  - Данный диапазон не  используется</w:t>
                          <w:br/>
                          <w:t xml:space="preserve">3 балла - Предложение участника полностью соответствует требованиям  Закупочной документации по объему и качеству оказываемых услуг. В случае обязательного наличия требования о предоставлении сертификата(ов), подтверждающего(их) качество услуг, такой документ предоставлен</w:t>
                          <w:br/>
                          <w:t xml:space="preserve">4 балла - Предложение участника полностью соответствует требованиям  Закупочной документации по объему и качеству оказываемых услуг. Подтверждены желательные требования</w:t>
                          <w:br/>
                          <w:t xml:space="preserve">5 баллов - Оценка не используется</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3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3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Временные параметры оказания услуги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7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указал временные параметры оказания услуг, либо предложенные временные параметры не соответствуют требованиям Закупочной документации</w:t>
                          <w:br/>
                          <w:t xml:space="preserve">От 1 до 2 баллов  - Данный диапазон не  используется</w:t>
                          <w:br/>
                          <w:t xml:space="preserve">3 балла - Предложенные временные параметры оказания услуг соответствуют требованиям/условиям  Закупочной документации</w:t>
                          <w:br/>
                          <w:t xml:space="preserve">4 балла - Предложенные временные параметры оказания услуг участника  улучшают требования закупочной документации, в случае если возможность таких улучшений была указана в Закупочной документации</w:t>
                          <w:br/>
                          <w:t xml:space="preserve">5 баллов - Оценка не используется</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610.23.00321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66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3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3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Приемлемость условий договора, предложенных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7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Участник не представил протокол разногласий в соответствии с формой, установленной закупочной документацией и/или письма-согласия с условиями договора, и/или представлен протокол разногласий с "обязательными" условиями и/или без указания статуса условий</w:t>
                          <w:br/>
                          <w:t xml:space="preserve">1 балл - Участником представлен протокол разногласий с "желательными" условиями влияющими/ухудшающими положение Заказчика </w:t>
                          <w:br/>
                          <w:t xml:space="preserve">2 балла - Диапазон не используется для оценки.</w:t>
                          <w:br/>
                          <w:t xml:space="preserve">3 балла - Участник согласен с условиями договора или участник представил протокол разногласий с "желательными" условиями не влияющими на положение Заказчика</w:t>
                          <w:br/>
                          <w:t xml:space="preserve">От 4 до 5 баллов  -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1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47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7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1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5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610.23.00321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96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1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1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5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Наличие и квалификация персонала ниже минимальных обязательных требований закупочной документации, либо сведения не представлены</w:t>
                          <w:br/>
                          <w:t xml:space="preserve">От 1 до 2 баллов  - данный диапазон не используется</w:t>
                          <w:br/>
                          <w:t xml:space="preserve">3 балла - Наличие и квалификация персонала соответствует минимальным обязательным требованиям закупочной документации</w:t>
                          <w:br/>
                          <w:t xml:space="preserve">4 балла -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  указанное в закупочной документации</w:t>
                          <w:br/>
                          <w:t xml:space="preserve">5 баллов -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41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1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5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Материальные ресурсы участника ниже минимальных обязательных требований, указанных в закупочной документации или сведения не представлены.</w:t>
                          <w:br/>
                          <w:t xml:space="preserve">От 1 до 2 баллов  - данный диапазон не используется</w:t>
                          <w:br/>
                          <w:t xml:space="preserve">3 балла - Участник имеет материальные ресурсы, соответствующие минимальным обязательным требованим Закупочной документации</w:t>
                          <w:br/>
                          <w:t xml:space="preserve">4 балла - Материальные ресурсы Участника  соответствуют минимальным обязательным требованиям закупочной документации и подтверждено одно желательное требование по материальным ресурсам,  указанное в закупочной документации</w:t>
                          <w:br/>
                          <w:t xml:space="preserve">5 баллов - Материальные ресурсы Участника  соответствуют минимальным обязательным требованиям закупочной документации и подтверждено два и более  желательных требования по материальным ресурсам,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40" w:name="JR_PAGE_ANCHOR_0_13"/>
            <w:bookmarkEnd w:id="40"/>
          </w:p>
        </w:tc>
        <w:tc>
          <w:tcPr>
     </w:tcPr>
          <w:p>
            <w:pPr>
              <w:pStyle w:val="EMPTY_CELL_STYLE"/>
            </w:pPr>
          </w:p>
        </w:tc>
        <w:tc>
          <w:tcPr>
     </w:tcPr>
          <w:p>
            <w:pPr>
              <w:pStyle w:val="EMPTY_CELL_STYLE"/>
            </w:pPr>
          </w:p>
        </w:tc>
      </w:tr>
      <w:tr>
        <w:trPr>
          <w:trHeight w:hRule="exact" w:val="858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представлены сведения , либо представленный опыт ниже минимальных обязательных требований, указанных в закупочной документации</w:t>
                          <w:br/>
                          <w:t xml:space="preserve">От 1 до 2 баллов  - Диапазон не используется</w:t>
                          <w:br/>
                          <w:t xml:space="preserve">3 балла - Опыт оказания услуг соответствует минимальным обязательным требованиям закупочной документации</w:t>
                          <w:br/>
                          <w:t xml:space="preserve">4 балла - Опыт оказания услуг превышает  минимальные обязательные требования закупочной документациию ИЛИ опыт поставок соответствует минимальным обязательным требованиям закупочной документации и подтверждены желательные требования по опыту, указанные в закупочной документации</w:t>
                          <w:br/>
                          <w:t xml:space="preserve">5 баллов - Опыт оказания услуг превышает  минимальные обязательные требования закупочной документациию и подтверждены желательные требования по опыту, указанные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0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4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аккредитации при государственных, муниципальных, частных или иных заказчиках в качестве поставщика закупаемых в рамках данной процедуры товаров, работ, услуг</w:t>
                          <w:br/>
                          <w:t xml:space="preserve">2 балла - Не используется для оценки</w:t>
                          <w:br/>
                          <w:t xml:space="preserve">От 3 до 5 баллов  - От 3 до 5 баллов рассчитывается по формуле: 2 + Ау (но не более 5 баллов) где, Ау - кол-во представленных участником сертификатов/свидетельств об аккредитаций в качестве поставщика, закупаемых в рамках данной процедуры товаров, работ, услуг при  государственных, муниципальных, частных или иных заказчиках</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41" w:name="JR_PAGE_ANCHOR_0_14"/>
            <w:bookmarkEnd w:id="41"/>
          </w:p>
        </w:tc>
        <w:tc>
          <w:tcPr>
     </w:tcPr>
          <w:p>
            <w:pPr>
              <w:pStyle w:val="EMPTY_CELL_STYLE"/>
            </w:pPr>
          </w:p>
        </w:tc>
        <w:tc>
          <w:tcPr>
     </w:tcPr>
          <w:p>
            <w:pPr>
              <w:pStyle w:val="EMPTY_CELL_STYLE"/>
            </w:pPr>
          </w:p>
        </w:tc>
      </w:tr>
      <w:tr>
        <w:trPr>
          <w:trHeight w:hRule="exact" w:val="462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0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